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5A489A09" w:rsidR="00370DAF" w:rsidRDefault="001C6EDF" w:rsidP="00FB4F85">
      <w:pPr>
        <w:pStyle w:val="Subtitle"/>
        <w:spacing w:after="300"/>
      </w:pPr>
      <w:r>
        <w:t>June 2023</w:t>
      </w:r>
      <w:r w:rsidR="005A72A8"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300163F2" w:rsidR="006F17B3" w:rsidRPr="00BE6C25" w:rsidRDefault="0054158B" w:rsidP="006F17B3">
      <w:pPr>
        <w:pStyle w:val="Heading2"/>
      </w:pPr>
      <w:r>
        <w:t>The inhumanity of institutionalization</w:t>
      </w:r>
    </w:p>
    <w:p w14:paraId="6C1E581B" w14:textId="41DE559E" w:rsidR="00594CE1" w:rsidRPr="00594CE1" w:rsidRDefault="0054158B" w:rsidP="00594CE1">
      <w:pPr>
        <w:pStyle w:val="Heading7"/>
      </w:pPr>
      <w:r>
        <w:t xml:space="preserve">yet another consequence of </w:t>
      </w:r>
      <w:r w:rsidR="00594CE1">
        <w:t>inn</w:t>
      </w:r>
      <w:r>
        <w:t>afordable housing</w:t>
      </w:r>
    </w:p>
    <w:p w14:paraId="78796378" w14:textId="1425E6D7" w:rsidR="00411DCF" w:rsidRDefault="00594CE1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76579" w:rsidRPr="00976579">
        <w:rPr>
          <w:rFonts w:ascii="Calibri" w:hAnsi="Calibri" w:cs="Calibri"/>
        </w:rPr>
        <w:t>Institutionalization. How can we begin to summarize what this is? A human rights violation. An inhumane and torturous practice. Or “placed in the care of a specialized institution” as defined by the Merriam-Webster dictionary. None of these really capture it.</w:t>
      </w:r>
      <w:r w:rsidR="00976579">
        <w:rPr>
          <w:rFonts w:ascii="Calibri" w:hAnsi="Calibri" w:cs="Calibri"/>
        </w:rPr>
        <w:t xml:space="preserve"> </w:t>
      </w:r>
      <w:r w:rsidR="00852C53">
        <w:rPr>
          <w:rFonts w:ascii="Calibri" w:hAnsi="Calibri" w:cs="Calibri"/>
        </w:rPr>
        <w:t xml:space="preserve">Maybe </w:t>
      </w:r>
      <w:r w:rsidR="00C510D7">
        <w:rPr>
          <w:rFonts w:ascii="Calibri" w:hAnsi="Calibri" w:cs="Calibri"/>
        </w:rPr>
        <w:t xml:space="preserve">the definition of </w:t>
      </w:r>
      <w:r w:rsidR="009B245E">
        <w:rPr>
          <w:rFonts w:ascii="Calibri" w:hAnsi="Calibri" w:cs="Calibri"/>
        </w:rPr>
        <w:t>Social Breakdown Syndrome</w:t>
      </w:r>
      <w:r w:rsidR="00EB0EAD">
        <w:rPr>
          <w:rFonts w:ascii="Calibri" w:hAnsi="Calibri" w:cs="Calibri"/>
        </w:rPr>
        <w:t xml:space="preserve">, a </w:t>
      </w:r>
      <w:r w:rsidR="00F11771">
        <w:rPr>
          <w:rFonts w:ascii="Calibri" w:hAnsi="Calibri" w:cs="Calibri"/>
        </w:rPr>
        <w:t>common consequence of institutionalization</w:t>
      </w:r>
      <w:r w:rsidR="003A6BD5">
        <w:rPr>
          <w:rFonts w:ascii="Calibri" w:hAnsi="Calibri" w:cs="Calibri"/>
        </w:rPr>
        <w:t xml:space="preserve">, would get us closer to a complete summary? </w:t>
      </w:r>
      <w:r w:rsidR="00623C2A">
        <w:rPr>
          <w:rFonts w:ascii="Calibri" w:hAnsi="Calibri" w:cs="Calibri"/>
        </w:rPr>
        <w:t>The “</w:t>
      </w:r>
      <w:r w:rsidR="00623C2A" w:rsidRPr="00623C2A">
        <w:rPr>
          <w:rFonts w:ascii="Calibri" w:hAnsi="Calibri" w:cs="Calibri"/>
        </w:rPr>
        <w:t>deterioration of social and interpersonal skills, work habits, and behavior</w:t>
      </w:r>
      <w:r w:rsidR="00623C2A">
        <w:rPr>
          <w:rFonts w:ascii="Calibri" w:hAnsi="Calibri" w:cs="Calibri"/>
        </w:rPr>
        <w:t xml:space="preserve">” as defined by the </w:t>
      </w:r>
      <w:r w:rsidR="006C2276" w:rsidRPr="006C2276">
        <w:rPr>
          <w:rFonts w:ascii="Calibri" w:hAnsi="Calibri" w:cs="Calibri"/>
        </w:rPr>
        <w:t>Miller-Keane Encyclopedia and Dictionary of Medicine, Nursing, and Allied Health, Seventh Edition.</w:t>
      </w:r>
      <w:r w:rsidR="004D5707">
        <w:rPr>
          <w:rFonts w:ascii="Calibri" w:hAnsi="Calibri" w:cs="Calibri"/>
        </w:rPr>
        <w:t xml:space="preserve"> This doesn’t quite capture what institutionalization is either</w:t>
      </w:r>
      <w:r w:rsidR="00CF1A87">
        <w:rPr>
          <w:rFonts w:ascii="Calibri" w:hAnsi="Calibri" w:cs="Calibri"/>
        </w:rPr>
        <w:t xml:space="preserve">. </w:t>
      </w:r>
      <w:r w:rsidR="00C50964">
        <w:rPr>
          <w:rFonts w:ascii="Calibri" w:hAnsi="Calibri" w:cs="Calibri"/>
        </w:rPr>
        <w:t>Another way t</w:t>
      </w:r>
      <w:r w:rsidR="00ED2137">
        <w:rPr>
          <w:rFonts w:ascii="Calibri" w:hAnsi="Calibri" w:cs="Calibri"/>
        </w:rPr>
        <w:t>o think about institutionalization is to witness what happens with ins</w:t>
      </w:r>
      <w:r w:rsidR="004E507A">
        <w:rPr>
          <w:rFonts w:ascii="Calibri" w:hAnsi="Calibri" w:cs="Calibri"/>
        </w:rPr>
        <w:t xml:space="preserve">titutionalized children in the case of deprivation dwarfism. </w:t>
      </w:r>
      <w:r w:rsidR="007C5CB4">
        <w:rPr>
          <w:rFonts w:ascii="Calibri" w:hAnsi="Calibri" w:cs="Calibri"/>
        </w:rPr>
        <w:t xml:space="preserve">A situation in which children are so emotionally </w:t>
      </w:r>
      <w:r w:rsidR="000A7B2F">
        <w:rPr>
          <w:rFonts w:ascii="Calibri" w:hAnsi="Calibri" w:cs="Calibri"/>
        </w:rPr>
        <w:t>starved and neglected their physical growth is halted</w:t>
      </w:r>
      <w:r w:rsidR="00323DAA">
        <w:rPr>
          <w:rFonts w:ascii="Calibri" w:hAnsi="Calibri" w:cs="Calibri"/>
        </w:rPr>
        <w:t xml:space="preserve">, even with adequate nutrition. Not that malnutrition is uncommon with </w:t>
      </w:r>
      <w:r w:rsidR="001200BD">
        <w:rPr>
          <w:rFonts w:ascii="Calibri" w:hAnsi="Calibri" w:cs="Calibri"/>
        </w:rPr>
        <w:t>institutionalization</w:t>
      </w:r>
      <w:r w:rsidR="008E072C">
        <w:rPr>
          <w:rFonts w:ascii="Calibri" w:hAnsi="Calibri" w:cs="Calibri"/>
        </w:rPr>
        <w:t xml:space="preserve"> either</w:t>
      </w:r>
      <w:r w:rsidR="001200BD">
        <w:rPr>
          <w:rFonts w:ascii="Calibri" w:hAnsi="Calibri" w:cs="Calibri"/>
        </w:rPr>
        <w:t>.</w:t>
      </w:r>
    </w:p>
    <w:p w14:paraId="20D7F0A6" w14:textId="70A40047" w:rsidR="00411DCF" w:rsidRDefault="00A1017C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However</w:t>
      </w:r>
      <w:proofErr w:type="gramEnd"/>
      <w:r>
        <w:rPr>
          <w:rFonts w:ascii="Calibri" w:hAnsi="Calibri" w:cs="Calibri"/>
        </w:rPr>
        <w:t xml:space="preserve"> you might describe institutionalization it is technically </w:t>
      </w:r>
      <w:r w:rsidR="00F50DF9">
        <w:rPr>
          <w:rFonts w:ascii="Calibri" w:hAnsi="Calibri" w:cs="Calibri"/>
        </w:rPr>
        <w:t>unconstitutional</w:t>
      </w:r>
      <w:r w:rsidR="006567D1">
        <w:rPr>
          <w:rFonts w:ascii="Calibri" w:hAnsi="Calibri" w:cs="Calibri"/>
        </w:rPr>
        <w:t xml:space="preserve"> </w:t>
      </w:r>
      <w:r w:rsidR="00C30E6B">
        <w:rPr>
          <w:rFonts w:ascii="Calibri" w:hAnsi="Calibri" w:cs="Calibri"/>
        </w:rPr>
        <w:t>to institutionalize people “unnecessarily”</w:t>
      </w:r>
      <w:r w:rsidR="001200BD">
        <w:rPr>
          <w:rFonts w:ascii="Calibri" w:hAnsi="Calibri" w:cs="Calibri"/>
        </w:rPr>
        <w:t xml:space="preserve"> according to the landmark 1999 Olmstead decision</w:t>
      </w:r>
      <w:r w:rsidR="00890F8C">
        <w:rPr>
          <w:rFonts w:ascii="Calibri" w:hAnsi="Calibri" w:cs="Calibri"/>
        </w:rPr>
        <w:t xml:space="preserve"> from the United States Supreme Court. </w:t>
      </w:r>
      <w:r w:rsidR="00EE5C40">
        <w:rPr>
          <w:rFonts w:ascii="Calibri" w:hAnsi="Calibri" w:cs="Calibri"/>
        </w:rPr>
        <w:t xml:space="preserve">Which stated that people with disabilities </w:t>
      </w:r>
      <w:r w:rsidR="00395CAE">
        <w:rPr>
          <w:rFonts w:ascii="Calibri" w:hAnsi="Calibri" w:cs="Calibri"/>
        </w:rPr>
        <w:t>have a right to</w:t>
      </w:r>
      <w:r w:rsidR="00663130">
        <w:rPr>
          <w:rFonts w:ascii="Calibri" w:hAnsi="Calibri" w:cs="Calibri"/>
        </w:rPr>
        <w:t xml:space="preserve"> the services necessary</w:t>
      </w:r>
      <w:r w:rsidR="007E640D">
        <w:rPr>
          <w:rFonts w:ascii="Calibri" w:hAnsi="Calibri" w:cs="Calibri"/>
        </w:rPr>
        <w:t xml:space="preserve"> for them to</w:t>
      </w:r>
      <w:r w:rsidR="00395CAE">
        <w:rPr>
          <w:rFonts w:ascii="Calibri" w:hAnsi="Calibri" w:cs="Calibri"/>
        </w:rPr>
        <w:t xml:space="preserve"> live and participate within their communities </w:t>
      </w:r>
      <w:r w:rsidR="0017735C">
        <w:rPr>
          <w:rFonts w:ascii="Calibri" w:hAnsi="Calibri" w:cs="Calibri"/>
        </w:rPr>
        <w:t xml:space="preserve">under </w:t>
      </w:r>
      <w:r w:rsidR="009F3A84">
        <w:rPr>
          <w:rFonts w:ascii="Calibri" w:hAnsi="Calibri" w:cs="Calibri"/>
        </w:rPr>
        <w:t>Title II of the Americans with Disabilities Act (ADA).</w:t>
      </w:r>
    </w:p>
    <w:p w14:paraId="6A472572" w14:textId="2E171789" w:rsidR="00880347" w:rsidRDefault="00880347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>Our community here in Nevada has a right to live</w:t>
      </w:r>
      <w:r w:rsidR="000160EF">
        <w:rPr>
          <w:rFonts w:ascii="Calibri" w:hAnsi="Calibri" w:cs="Calibri"/>
        </w:rPr>
        <w:t xml:space="preserve"> </w:t>
      </w:r>
      <w:r w:rsidR="008324E3">
        <w:rPr>
          <w:rFonts w:ascii="Calibri" w:hAnsi="Calibri" w:cs="Calibri"/>
          <w:i/>
          <w:iCs/>
        </w:rPr>
        <w:t xml:space="preserve">within </w:t>
      </w:r>
      <w:r w:rsidR="008324E3">
        <w:rPr>
          <w:rFonts w:ascii="Calibri" w:hAnsi="Calibri" w:cs="Calibri"/>
        </w:rPr>
        <w:t xml:space="preserve">the community, not segregated away in an institution. Unfortunately, the State of Nevada often fails to </w:t>
      </w:r>
      <w:r w:rsidR="001B0CDC">
        <w:rPr>
          <w:rFonts w:ascii="Calibri" w:hAnsi="Calibri" w:cs="Calibri"/>
        </w:rPr>
        <w:t xml:space="preserve">provide the legally necessary community-based services </w:t>
      </w:r>
      <w:r w:rsidR="00BB6AF1">
        <w:rPr>
          <w:rFonts w:ascii="Calibri" w:hAnsi="Calibri" w:cs="Calibri"/>
        </w:rPr>
        <w:t>to prevent</w:t>
      </w:r>
      <w:r w:rsidR="00554C5C">
        <w:rPr>
          <w:rFonts w:ascii="Calibri" w:hAnsi="Calibri" w:cs="Calibri"/>
        </w:rPr>
        <w:t xml:space="preserve"> children with behavioral health disabilities from being segregated into </w:t>
      </w:r>
      <w:r w:rsidR="000748A0">
        <w:rPr>
          <w:rFonts w:ascii="Calibri" w:hAnsi="Calibri" w:cs="Calibri"/>
        </w:rPr>
        <w:t xml:space="preserve">an institution. But </w:t>
      </w:r>
      <w:proofErr w:type="gramStart"/>
      <w:r w:rsidR="000748A0">
        <w:rPr>
          <w:rFonts w:ascii="Calibri" w:hAnsi="Calibri" w:cs="Calibri"/>
        </w:rPr>
        <w:t>Don’t</w:t>
      </w:r>
      <w:proofErr w:type="gramEnd"/>
      <w:r w:rsidR="000748A0">
        <w:rPr>
          <w:rFonts w:ascii="Calibri" w:hAnsi="Calibri" w:cs="Calibri"/>
        </w:rPr>
        <w:t xml:space="preserve"> take our word for it. According </w:t>
      </w:r>
      <w:r w:rsidR="0057026A">
        <w:rPr>
          <w:rFonts w:ascii="Calibri" w:hAnsi="Calibri" w:cs="Calibri"/>
        </w:rPr>
        <w:t xml:space="preserve">to a public report released last year from the Federal Department of </w:t>
      </w:r>
      <w:r w:rsidR="0057026A">
        <w:rPr>
          <w:rFonts w:ascii="Calibri" w:hAnsi="Calibri" w:cs="Calibri"/>
        </w:rPr>
        <w:lastRenderedPageBreak/>
        <w:t>Justice</w:t>
      </w:r>
      <w:r w:rsidR="00F83D77">
        <w:rPr>
          <w:rFonts w:ascii="Calibri" w:hAnsi="Calibri" w:cs="Calibri"/>
        </w:rPr>
        <w:t xml:space="preserve"> (DOJ), </w:t>
      </w:r>
      <w:r w:rsidR="00C62020">
        <w:rPr>
          <w:rFonts w:ascii="Calibri" w:hAnsi="Calibri" w:cs="Calibri"/>
        </w:rPr>
        <w:t>Nevada</w:t>
      </w:r>
      <w:r w:rsidR="00CF312A">
        <w:rPr>
          <w:rFonts w:ascii="Calibri" w:hAnsi="Calibri" w:cs="Calibri"/>
        </w:rPr>
        <w:t xml:space="preserve"> violates the ADA </w:t>
      </w:r>
      <w:r w:rsidR="00270645">
        <w:rPr>
          <w:rFonts w:ascii="Calibri" w:hAnsi="Calibri" w:cs="Calibri"/>
        </w:rPr>
        <w:t>with</w:t>
      </w:r>
      <w:r w:rsidR="00CF312A">
        <w:rPr>
          <w:rFonts w:ascii="Calibri" w:hAnsi="Calibri" w:cs="Calibri"/>
        </w:rPr>
        <w:t xml:space="preserve"> the overreliance on segregated institutions</w:t>
      </w:r>
      <w:r w:rsidR="00D04228">
        <w:rPr>
          <w:rFonts w:ascii="Calibri" w:hAnsi="Calibri" w:cs="Calibri"/>
        </w:rPr>
        <w:t xml:space="preserve"> for children</w:t>
      </w:r>
      <w:r w:rsidR="00026C15">
        <w:rPr>
          <w:rFonts w:ascii="Calibri" w:hAnsi="Calibri" w:cs="Calibri"/>
        </w:rPr>
        <w:t xml:space="preserve"> with behavioral health disabilities. </w:t>
      </w:r>
      <w:r w:rsidR="00270645">
        <w:rPr>
          <w:rFonts w:ascii="Calibri" w:hAnsi="Calibri" w:cs="Calibri"/>
        </w:rPr>
        <w:t xml:space="preserve">Institutions that are often placed out of State, </w:t>
      </w:r>
      <w:proofErr w:type="gramStart"/>
      <w:r w:rsidR="00270645">
        <w:rPr>
          <w:rFonts w:ascii="Calibri" w:hAnsi="Calibri" w:cs="Calibri"/>
        </w:rPr>
        <w:t>hundreds</w:t>
      </w:r>
      <w:proofErr w:type="gramEnd"/>
      <w:r w:rsidR="00270645">
        <w:rPr>
          <w:rFonts w:ascii="Calibri" w:hAnsi="Calibri" w:cs="Calibri"/>
        </w:rPr>
        <w:t xml:space="preserve"> or thousands of miles away from the community. </w:t>
      </w:r>
      <w:r w:rsidR="00B2418B">
        <w:rPr>
          <w:rFonts w:ascii="Calibri" w:hAnsi="Calibri" w:cs="Calibri"/>
        </w:rPr>
        <w:t xml:space="preserve">With placements that have lasted years, robbing children of large chunks of their childhood. You can read this </w:t>
      </w:r>
      <w:r w:rsidR="00AE3585">
        <w:rPr>
          <w:rFonts w:ascii="Calibri" w:hAnsi="Calibri" w:cs="Calibri"/>
        </w:rPr>
        <w:t xml:space="preserve">terrifying report for yourself here: </w:t>
      </w:r>
    </w:p>
    <w:p w14:paraId="4C134CBC" w14:textId="75370C14" w:rsidR="00C90856" w:rsidRPr="008324E3" w:rsidRDefault="00C90856" w:rsidP="006F17B3">
      <w:pPr>
        <w:spacing w:before="200"/>
        <w:rPr>
          <w:rFonts w:ascii="Calibri" w:hAnsi="Calibri" w:cs="Calibri"/>
        </w:rPr>
      </w:pPr>
      <w:hyperlink r:id="rId9" w:history="1">
        <w:r w:rsidRPr="00733CBD">
          <w:rPr>
            <w:rStyle w:val="Hyperlink"/>
            <w:rFonts w:ascii="Calibri" w:hAnsi="Calibri" w:cs="Calibri"/>
          </w:rPr>
          <w:t>https://www.justice.gov/opa/press-release/file/1540</w:t>
        </w:r>
        <w:r w:rsidRPr="00733CBD">
          <w:rPr>
            <w:rStyle w:val="Hyperlink"/>
            <w:rFonts w:ascii="Calibri" w:hAnsi="Calibri" w:cs="Calibri"/>
          </w:rPr>
          <w:t>6</w:t>
        </w:r>
        <w:r w:rsidRPr="00733CBD">
          <w:rPr>
            <w:rStyle w:val="Hyperlink"/>
            <w:rFonts w:ascii="Calibri" w:hAnsi="Calibri" w:cs="Calibri"/>
          </w:rPr>
          <w:t>16/download</w:t>
        </w:r>
      </w:hyperlink>
    </w:p>
    <w:p w14:paraId="351D748F" w14:textId="4B31DF4F" w:rsidR="006F17B3" w:rsidRDefault="0074163B" w:rsidP="00F7178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Nevada Youth Action Council </w:t>
      </w:r>
      <w:r w:rsidR="001D7A1A">
        <w:rPr>
          <w:rFonts w:ascii="Calibri" w:hAnsi="Calibri" w:cs="Calibri"/>
        </w:rPr>
        <w:t>supports people living in their communities and participating in all aspects of community life to the degree that they wish to</w:t>
      </w:r>
      <w:r w:rsidR="00CA7E3F">
        <w:rPr>
          <w:rFonts w:ascii="Calibri" w:hAnsi="Calibri" w:cs="Calibri"/>
        </w:rPr>
        <w:t xml:space="preserve">. </w:t>
      </w:r>
      <w:r w:rsidR="00073DDB">
        <w:rPr>
          <w:rFonts w:ascii="Calibri" w:hAnsi="Calibri" w:cs="Calibri"/>
        </w:rPr>
        <w:t xml:space="preserve">If you want support getting involved </w:t>
      </w:r>
      <w:r w:rsidR="003706D9">
        <w:rPr>
          <w:rFonts w:ascii="Calibri" w:hAnsi="Calibri" w:cs="Calibri"/>
        </w:rPr>
        <w:t xml:space="preserve">with advocating for a better status quo for people with disabilities, please reach out to the Youth Leader at </w:t>
      </w:r>
      <w:r w:rsidR="009B0448">
        <w:rPr>
          <w:rFonts w:ascii="Calibri" w:hAnsi="Calibri" w:cs="Calibri"/>
        </w:rPr>
        <w:t>CodyButler@adsd.nv.gov</w:t>
      </w: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7279FAB3" w:rsidR="006F17B3" w:rsidRPr="00BE6C25" w:rsidRDefault="006F17B3" w:rsidP="006F17B3">
      <w:pPr>
        <w:pStyle w:val="Heading4"/>
      </w:pPr>
      <w:r w:rsidRPr="00BE6C25">
        <w:t>“</w:t>
      </w:r>
      <w:r w:rsidR="00B2036C" w:rsidRPr="00B2036C">
        <w:t>Was the process of institutionalization both so powerful and subtle, that I could be aware of it and yet be unable to resist?</w:t>
      </w:r>
      <w:r w:rsidRPr="00BE6C25">
        <w:t>”-</w:t>
      </w:r>
      <w:r w:rsidR="00B2036C">
        <w:t xml:space="preserve"> </w:t>
      </w:r>
      <w:r w:rsidR="006A0CE9">
        <w:t xml:space="preserve">Dr. </w:t>
      </w:r>
      <w:r w:rsidR="00B2036C">
        <w:t xml:space="preserve">Irving Kenneth </w:t>
      </w:r>
      <w:r w:rsidR="00411DCF">
        <w:t>Zola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A8DD" w14:textId="77777777" w:rsidR="00E100C4" w:rsidRDefault="00E100C4">
      <w:pPr>
        <w:spacing w:after="0" w:line="240" w:lineRule="auto"/>
      </w:pPr>
      <w:r>
        <w:separator/>
      </w:r>
    </w:p>
  </w:endnote>
  <w:endnote w:type="continuationSeparator" w:id="0">
    <w:p w14:paraId="70083BFC" w14:textId="77777777" w:rsidR="00E100C4" w:rsidRDefault="00E1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CE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D3E5" w14:textId="77777777" w:rsidR="00E100C4" w:rsidRDefault="00E100C4">
      <w:pPr>
        <w:spacing w:after="0" w:line="240" w:lineRule="auto"/>
      </w:pPr>
      <w:r>
        <w:separator/>
      </w:r>
    </w:p>
  </w:footnote>
  <w:footnote w:type="continuationSeparator" w:id="0">
    <w:p w14:paraId="4B7D2B69" w14:textId="77777777" w:rsidR="00E100C4" w:rsidRDefault="00E1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CE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745012AD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0B3ABB">
                <w:t>06/10/2023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047D26CA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787AD2">
                <w:t>06</w:t>
              </w:r>
              <w:r w:rsidR="005A72A8">
                <w:t>/</w:t>
              </w:r>
              <w:r w:rsidR="000B3ABB">
                <w:t>10</w:t>
              </w:r>
              <w:r w:rsidR="005A72A8">
                <w:t>/</w:t>
              </w:r>
              <w:r w:rsidR="00787AD2">
                <w:t>2023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160EF"/>
    <w:rsid w:val="00026C15"/>
    <w:rsid w:val="00037CC2"/>
    <w:rsid w:val="00047D8A"/>
    <w:rsid w:val="00064C59"/>
    <w:rsid w:val="000666D0"/>
    <w:rsid w:val="00073DDB"/>
    <w:rsid w:val="000748A0"/>
    <w:rsid w:val="000A7B2F"/>
    <w:rsid w:val="000B3ABB"/>
    <w:rsid w:val="000B7DB6"/>
    <w:rsid w:val="000D43AC"/>
    <w:rsid w:val="000F38A1"/>
    <w:rsid w:val="00116F60"/>
    <w:rsid w:val="001200BD"/>
    <w:rsid w:val="0012117C"/>
    <w:rsid w:val="00121731"/>
    <w:rsid w:val="00145275"/>
    <w:rsid w:val="00146469"/>
    <w:rsid w:val="001606AB"/>
    <w:rsid w:val="0016091E"/>
    <w:rsid w:val="00165746"/>
    <w:rsid w:val="0017735C"/>
    <w:rsid w:val="001949F5"/>
    <w:rsid w:val="001B0CDC"/>
    <w:rsid w:val="001B55EF"/>
    <w:rsid w:val="001C6EDF"/>
    <w:rsid w:val="001D4B08"/>
    <w:rsid w:val="001D7A1A"/>
    <w:rsid w:val="001F3A47"/>
    <w:rsid w:val="00210270"/>
    <w:rsid w:val="00216EE6"/>
    <w:rsid w:val="002172D5"/>
    <w:rsid w:val="002215D9"/>
    <w:rsid w:val="00241AE1"/>
    <w:rsid w:val="00270645"/>
    <w:rsid w:val="00270B21"/>
    <w:rsid w:val="00287564"/>
    <w:rsid w:val="00293C96"/>
    <w:rsid w:val="002A2E4E"/>
    <w:rsid w:val="002A5798"/>
    <w:rsid w:val="002B65AC"/>
    <w:rsid w:val="002D2945"/>
    <w:rsid w:val="002D6739"/>
    <w:rsid w:val="002E6273"/>
    <w:rsid w:val="00315745"/>
    <w:rsid w:val="00323DAA"/>
    <w:rsid w:val="003278C6"/>
    <w:rsid w:val="0033156F"/>
    <w:rsid w:val="003504DA"/>
    <w:rsid w:val="003548BD"/>
    <w:rsid w:val="0036232E"/>
    <w:rsid w:val="003706D9"/>
    <w:rsid w:val="00370DAF"/>
    <w:rsid w:val="00385FC5"/>
    <w:rsid w:val="00395CAE"/>
    <w:rsid w:val="003A6BD5"/>
    <w:rsid w:val="003C5290"/>
    <w:rsid w:val="003E0362"/>
    <w:rsid w:val="003E4566"/>
    <w:rsid w:val="003F2188"/>
    <w:rsid w:val="003F5F5A"/>
    <w:rsid w:val="00411393"/>
    <w:rsid w:val="00411DCF"/>
    <w:rsid w:val="00414A18"/>
    <w:rsid w:val="004219C9"/>
    <w:rsid w:val="00442D2E"/>
    <w:rsid w:val="0044579A"/>
    <w:rsid w:val="00446BC5"/>
    <w:rsid w:val="004649F1"/>
    <w:rsid w:val="004766A7"/>
    <w:rsid w:val="004A138A"/>
    <w:rsid w:val="004D2783"/>
    <w:rsid w:val="004D5707"/>
    <w:rsid w:val="004E507A"/>
    <w:rsid w:val="004E7F64"/>
    <w:rsid w:val="004F181F"/>
    <w:rsid w:val="004F7AB8"/>
    <w:rsid w:val="00511101"/>
    <w:rsid w:val="0053693B"/>
    <w:rsid w:val="0054158B"/>
    <w:rsid w:val="005465F3"/>
    <w:rsid w:val="00554C5C"/>
    <w:rsid w:val="00554C64"/>
    <w:rsid w:val="0057026A"/>
    <w:rsid w:val="0057159E"/>
    <w:rsid w:val="005857BF"/>
    <w:rsid w:val="00594CE1"/>
    <w:rsid w:val="005A72A8"/>
    <w:rsid w:val="005B1EC0"/>
    <w:rsid w:val="005C73C4"/>
    <w:rsid w:val="0062317E"/>
    <w:rsid w:val="00623C2A"/>
    <w:rsid w:val="006567D1"/>
    <w:rsid w:val="00661671"/>
    <w:rsid w:val="00663130"/>
    <w:rsid w:val="00690316"/>
    <w:rsid w:val="006A0CE9"/>
    <w:rsid w:val="006C2276"/>
    <w:rsid w:val="006C3216"/>
    <w:rsid w:val="006F17B3"/>
    <w:rsid w:val="007000D7"/>
    <w:rsid w:val="00703FE3"/>
    <w:rsid w:val="00740904"/>
    <w:rsid w:val="0074163B"/>
    <w:rsid w:val="007665E7"/>
    <w:rsid w:val="00771380"/>
    <w:rsid w:val="00787AD2"/>
    <w:rsid w:val="00794F87"/>
    <w:rsid w:val="007B03A5"/>
    <w:rsid w:val="007C0EE3"/>
    <w:rsid w:val="007C5CB4"/>
    <w:rsid w:val="007C6247"/>
    <w:rsid w:val="007E640D"/>
    <w:rsid w:val="007E7E91"/>
    <w:rsid w:val="00802781"/>
    <w:rsid w:val="008324E3"/>
    <w:rsid w:val="00852C53"/>
    <w:rsid w:val="008550E7"/>
    <w:rsid w:val="00880347"/>
    <w:rsid w:val="008849B1"/>
    <w:rsid w:val="00890F8C"/>
    <w:rsid w:val="008A0331"/>
    <w:rsid w:val="008A325E"/>
    <w:rsid w:val="008D311A"/>
    <w:rsid w:val="008E072C"/>
    <w:rsid w:val="008E332F"/>
    <w:rsid w:val="008F397A"/>
    <w:rsid w:val="0090142D"/>
    <w:rsid w:val="00922751"/>
    <w:rsid w:val="00976579"/>
    <w:rsid w:val="00984BB5"/>
    <w:rsid w:val="0098638C"/>
    <w:rsid w:val="009A591F"/>
    <w:rsid w:val="009B0448"/>
    <w:rsid w:val="009B245E"/>
    <w:rsid w:val="009D3FF6"/>
    <w:rsid w:val="009E13A4"/>
    <w:rsid w:val="009F04E1"/>
    <w:rsid w:val="009F3A84"/>
    <w:rsid w:val="00A1017C"/>
    <w:rsid w:val="00A10E51"/>
    <w:rsid w:val="00A1404C"/>
    <w:rsid w:val="00A4351E"/>
    <w:rsid w:val="00A5487A"/>
    <w:rsid w:val="00A81C38"/>
    <w:rsid w:val="00AA1EEA"/>
    <w:rsid w:val="00AB3054"/>
    <w:rsid w:val="00AE3585"/>
    <w:rsid w:val="00AE4675"/>
    <w:rsid w:val="00B0545B"/>
    <w:rsid w:val="00B2036C"/>
    <w:rsid w:val="00B2418B"/>
    <w:rsid w:val="00B2720B"/>
    <w:rsid w:val="00B43864"/>
    <w:rsid w:val="00B44AE4"/>
    <w:rsid w:val="00B533E2"/>
    <w:rsid w:val="00B76CAB"/>
    <w:rsid w:val="00BA36D9"/>
    <w:rsid w:val="00BB6AF1"/>
    <w:rsid w:val="00BC2E14"/>
    <w:rsid w:val="00BD4375"/>
    <w:rsid w:val="00BE6C25"/>
    <w:rsid w:val="00C30E6B"/>
    <w:rsid w:val="00C31F0B"/>
    <w:rsid w:val="00C50964"/>
    <w:rsid w:val="00C510D7"/>
    <w:rsid w:val="00C54E5F"/>
    <w:rsid w:val="00C62020"/>
    <w:rsid w:val="00C70286"/>
    <w:rsid w:val="00C74624"/>
    <w:rsid w:val="00C825C5"/>
    <w:rsid w:val="00C90856"/>
    <w:rsid w:val="00CA7E3F"/>
    <w:rsid w:val="00CD2AB1"/>
    <w:rsid w:val="00CD59B8"/>
    <w:rsid w:val="00CE0CA7"/>
    <w:rsid w:val="00CE2ECE"/>
    <w:rsid w:val="00CF1A87"/>
    <w:rsid w:val="00CF312A"/>
    <w:rsid w:val="00D04228"/>
    <w:rsid w:val="00D118BF"/>
    <w:rsid w:val="00D32417"/>
    <w:rsid w:val="00D70538"/>
    <w:rsid w:val="00DB60FE"/>
    <w:rsid w:val="00DF1CEF"/>
    <w:rsid w:val="00E100C4"/>
    <w:rsid w:val="00E40B3A"/>
    <w:rsid w:val="00E41288"/>
    <w:rsid w:val="00E62F1A"/>
    <w:rsid w:val="00E730F6"/>
    <w:rsid w:val="00E77AC0"/>
    <w:rsid w:val="00EA0D1D"/>
    <w:rsid w:val="00EB0EAD"/>
    <w:rsid w:val="00EB2BB8"/>
    <w:rsid w:val="00EC5EDB"/>
    <w:rsid w:val="00ED2137"/>
    <w:rsid w:val="00ED2289"/>
    <w:rsid w:val="00EE5C40"/>
    <w:rsid w:val="00EF5220"/>
    <w:rsid w:val="00F11771"/>
    <w:rsid w:val="00F14DC6"/>
    <w:rsid w:val="00F220D0"/>
    <w:rsid w:val="00F50DF9"/>
    <w:rsid w:val="00F71783"/>
    <w:rsid w:val="00F74171"/>
    <w:rsid w:val="00F776A4"/>
    <w:rsid w:val="00F83D77"/>
    <w:rsid w:val="00F95809"/>
    <w:rsid w:val="00FA0BE3"/>
    <w:rsid w:val="00FB2537"/>
    <w:rsid w:val="00FB4F85"/>
    <w:rsid w:val="00FC469C"/>
    <w:rsid w:val="00FC766E"/>
    <w:rsid w:val="00FE0DC5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E2ECE"/>
    <w:pPr>
      <w:spacing w:after="0" w:line="240" w:lineRule="auto"/>
    </w:pPr>
    <w:tblPr>
      <w:tblStyleRowBandSize w:val="1"/>
      <w:tblStyleColBandSize w:val="1"/>
      <w:tblBorders>
        <w:top w:val="single" w:sz="2" w:space="0" w:color="8BBDE0" w:themeColor="accent1" w:themeTint="99"/>
        <w:bottom w:val="single" w:sz="2" w:space="0" w:color="8BBDE0" w:themeColor="accent1" w:themeTint="99"/>
        <w:insideH w:val="single" w:sz="2" w:space="0" w:color="8BBDE0" w:themeColor="accent1" w:themeTint="99"/>
        <w:insideV w:val="single" w:sz="2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D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E2ECE"/>
    <w:pPr>
      <w:spacing w:after="0" w:line="240" w:lineRule="auto"/>
    </w:pPr>
    <w:tblPr>
      <w:tblStyleRowBandSize w:val="1"/>
      <w:tblStyleColBandSize w:val="1"/>
      <w:tblBorders>
        <w:top w:val="single" w:sz="4" w:space="0" w:color="B1D3EA" w:themeColor="accent1" w:themeTint="66"/>
        <w:left w:val="single" w:sz="4" w:space="0" w:color="B1D3EA" w:themeColor="accent1" w:themeTint="66"/>
        <w:bottom w:val="single" w:sz="4" w:space="0" w:color="B1D3EA" w:themeColor="accent1" w:themeTint="66"/>
        <w:right w:val="single" w:sz="4" w:space="0" w:color="B1D3EA" w:themeColor="accent1" w:themeTint="66"/>
        <w:insideH w:val="single" w:sz="4" w:space="0" w:color="B1D3EA" w:themeColor="accent1" w:themeTint="66"/>
        <w:insideV w:val="single" w:sz="4" w:space="0" w:color="B1D3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tice.gov/opa/press-release/file/1540616/downloa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06/10/2023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89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77</cp:revision>
  <dcterms:created xsi:type="dcterms:W3CDTF">2023-05-24T19:07:00Z</dcterms:created>
  <dcterms:modified xsi:type="dcterms:W3CDTF">2023-06-09T18:39:00Z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