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DB3923F" w14:textId="77777777" w:rsidR="000233C2" w:rsidRDefault="00744123">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DF926A8">
                    <wp:extent cx="2705312" cy="1316585"/>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pic:cNvPicPr preferRelativeResize="0"/>
                          </pic:nvPicPr>
                          <pic:blipFill>
                            <a:blip r:embed="rId10"/>
                            <a:stretch>
                              <a:fillRect/>
                            </a:stretch>
                          </pic:blipFill>
                          <pic:spPr>
                            <a:xfrm>
                              <a:off x="0" y="0"/>
                              <a:ext cx="2705312" cy="1316585"/>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744123">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1E21F42F" w:rsidR="00C040CD" w:rsidRDefault="00744123">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rsidRPr="006A5331">
                                      <w:t xml:space="preserve">Rev. </w:t>
                                    </w:r>
                                    <w:r w:rsidR="007E021F">
                                      <w:t>1</w:t>
                                    </w:r>
                                    <w:r w:rsidR="005217B4" w:rsidRPr="006A5331">
                                      <w:t>/</w:t>
                                    </w:r>
                                    <w:r w:rsidR="007E021F">
                                      <w:t>24</w:t>
                                    </w:r>
                                    <w:r w:rsidR="00DC49A8" w:rsidRPr="006A5331">
                                      <w:t>/202</w:t>
                                    </w:r>
                                    <w:r w:rsidR="007E021F">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LofVVF8CAAAuBQAADgAAAAAAAAAAAAAAAAAuAgAAZHJzL2Uyb0RvYy54&#10;bWxQSwECLQAUAAYACAAAACEAifTqgNsAAAAFAQAADwAAAAAAAAAAAAAAAAC5BAAAZHJzL2Rvd25y&#10;ZXYueG1sUEsFBgAAAAAEAAQA8wAAAMEFAAAAAA==&#10;" filled="f" stroked="f" strokeweight=".5pt">
                    <v:textbox style="mso-fit-shape-to-text:t" inset="0,0,0,0">
                      <w:txbxContent>
                        <w:p w14:paraId="1FD9FF1B" w14:textId="77777777" w:rsidR="00C040CD" w:rsidRDefault="00744123">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1E21F42F" w:rsidR="00C040CD" w:rsidRDefault="00744123">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rsidRPr="006A5331">
                                <w:t xml:space="preserve">Rev. </w:t>
                              </w:r>
                              <w:r w:rsidR="007E021F">
                                <w:t>1</w:t>
                              </w:r>
                              <w:r w:rsidR="005217B4" w:rsidRPr="006A5331">
                                <w:t>/</w:t>
                              </w:r>
                              <w:r w:rsidR="007E021F">
                                <w:t>24</w:t>
                              </w:r>
                              <w:r w:rsidR="00DC49A8" w:rsidRPr="006A5331">
                                <w:t>/202</w:t>
                              </w:r>
                              <w:r w:rsidR="007E021F">
                                <w:t>3</w:t>
                              </w:r>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744123">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5ABB51C"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" fillcolor="#4a66ac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744123">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242852"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744123">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744123">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0E310E" w:rsidRDefault="00744123">
          <w:pPr>
            <w:pStyle w:val="TOC2"/>
            <w:rPr>
              <w:noProof/>
              <w:color w:val="5B63B7" w:themeColor="text2" w:themeTint="99"/>
              <w:sz w:val="28"/>
              <w:szCs w:val="28"/>
            </w:rPr>
          </w:pPr>
          <w:hyperlink w:anchor="_Toc340506958" w:history="1">
            <w:r w:rsidR="00BE32C4" w:rsidRPr="000E310E">
              <w:rPr>
                <w:rStyle w:val="Hyperlink"/>
                <w:noProof/>
                <w:color w:val="5B63B7" w:themeColor="text2" w:themeTint="99"/>
                <w:sz w:val="28"/>
                <w:szCs w:val="28"/>
              </w:rPr>
              <w:t>Mission</w:t>
            </w:r>
          </w:hyperlink>
          <w:r w:rsidR="00BE32C4" w:rsidRPr="000E310E">
            <w:rPr>
              <w:rStyle w:val="Hyperlink"/>
              <w:noProof/>
              <w:color w:val="5B63B7" w:themeColor="text2" w:themeTint="99"/>
              <w:sz w:val="28"/>
              <w:szCs w:val="28"/>
              <w:u w:val="none"/>
            </w:rPr>
            <w:t xml:space="preserve"> Statement</w:t>
          </w:r>
        </w:p>
        <w:p w14:paraId="7618802D" w14:textId="77777777" w:rsidR="000233C2" w:rsidRPr="000E310E" w:rsidRDefault="00744123">
          <w:pPr>
            <w:pStyle w:val="TOC2"/>
            <w:rPr>
              <w:noProof/>
              <w:color w:val="5B63B7" w:themeColor="text2" w:themeTint="99"/>
              <w:sz w:val="28"/>
              <w:szCs w:val="28"/>
            </w:rPr>
          </w:pPr>
          <w:hyperlink w:anchor="_Toc340506959" w:history="1">
            <w:r w:rsidR="00BE32C4" w:rsidRPr="000E310E">
              <w:rPr>
                <w:rStyle w:val="Hyperlink"/>
                <w:noProof/>
                <w:color w:val="5B63B7" w:themeColor="text2" w:themeTint="99"/>
                <w:sz w:val="28"/>
                <w:szCs w:val="28"/>
              </w:rPr>
              <w:t>Vision</w:t>
            </w:r>
          </w:hyperlink>
          <w:r w:rsidR="00BE32C4" w:rsidRPr="000E310E">
            <w:rPr>
              <w:rStyle w:val="Hyperlink"/>
              <w:noProof/>
              <w:color w:val="5B63B7" w:themeColor="text2" w:themeTint="99"/>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744123">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744123">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744123">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0E310E" w:rsidRDefault="00744123">
          <w:pPr>
            <w:pStyle w:val="TOC2"/>
            <w:rPr>
              <w:noProof/>
              <w:color w:val="5B63B7" w:themeColor="text2" w:themeTint="99"/>
              <w:sz w:val="28"/>
              <w:szCs w:val="28"/>
            </w:rPr>
          </w:pPr>
          <w:hyperlink w:anchor="_Toc340506975" w:history="1">
            <w:r w:rsidR="00BE32C4" w:rsidRPr="000E310E">
              <w:rPr>
                <w:rStyle w:val="Hyperlink"/>
                <w:noProof/>
                <w:color w:val="5B63B7" w:themeColor="text2" w:themeTint="99"/>
                <w:sz w:val="28"/>
                <w:szCs w:val="28"/>
              </w:rPr>
              <w:t>Disputes</w:t>
            </w:r>
          </w:hyperlink>
          <w:r w:rsidR="00BE32C4" w:rsidRPr="000E310E">
            <w:rPr>
              <w:rStyle w:val="Hyperlink"/>
              <w:noProof/>
              <w:color w:val="5B63B7" w:themeColor="text2" w:themeTint="99"/>
              <w:sz w:val="28"/>
              <w:szCs w:val="28"/>
              <w:u w:val="none"/>
            </w:rPr>
            <w:t xml:space="preserve"> / Conflicts of Interest</w:t>
          </w:r>
        </w:p>
        <w:p w14:paraId="15FD43F4" w14:textId="77777777" w:rsidR="000233C2" w:rsidRPr="000E310E" w:rsidRDefault="00744123">
          <w:pPr>
            <w:pStyle w:val="TOC2"/>
            <w:rPr>
              <w:noProof/>
              <w:color w:val="5B63B7" w:themeColor="text2" w:themeTint="99"/>
              <w:sz w:val="28"/>
              <w:szCs w:val="28"/>
            </w:rPr>
          </w:pPr>
          <w:hyperlink w:anchor="_Toc340506976" w:history="1">
            <w:r w:rsidR="00BE32C4" w:rsidRPr="000E310E">
              <w:rPr>
                <w:rStyle w:val="Hyperlink"/>
                <w:noProof/>
                <w:color w:val="5B63B7" w:themeColor="text2" w:themeTint="99"/>
                <w:sz w:val="28"/>
                <w:szCs w:val="28"/>
              </w:rPr>
              <w:t>Official</w:t>
            </w:r>
          </w:hyperlink>
          <w:r w:rsidR="00BE32C4" w:rsidRPr="000E310E">
            <w:rPr>
              <w:rStyle w:val="Hyperlink"/>
              <w:noProof/>
              <w:color w:val="5B63B7" w:themeColor="text2" w:themeTint="99"/>
              <w:sz w:val="28"/>
              <w:szCs w:val="28"/>
              <w:u w:val="none"/>
            </w:rPr>
            <w:t xml:space="preserve"> Meetings</w:t>
          </w:r>
        </w:p>
        <w:p w14:paraId="3024A981" w14:textId="77777777" w:rsidR="000233C2" w:rsidRPr="000E310E" w:rsidRDefault="00744123">
          <w:pPr>
            <w:pStyle w:val="TOC2"/>
            <w:rPr>
              <w:noProof/>
              <w:color w:val="5B63B7" w:themeColor="text2" w:themeTint="99"/>
              <w:sz w:val="28"/>
              <w:szCs w:val="28"/>
            </w:rPr>
          </w:pPr>
          <w:hyperlink w:anchor="_Toc340506977" w:history="1">
            <w:r w:rsidR="00BE32C4" w:rsidRPr="000E310E">
              <w:rPr>
                <w:rStyle w:val="Hyperlink"/>
                <w:noProof/>
                <w:color w:val="5B63B7" w:themeColor="text2" w:themeTint="99"/>
                <w:sz w:val="28"/>
                <w:szCs w:val="28"/>
              </w:rPr>
              <w:t>Accommodations</w:t>
            </w:r>
          </w:hyperlink>
        </w:p>
        <w:p w14:paraId="098786BE" w14:textId="77777777" w:rsidR="000233C2" w:rsidRPr="000E310E" w:rsidRDefault="00744123">
          <w:pPr>
            <w:pStyle w:val="TOC2"/>
            <w:rPr>
              <w:noProof/>
              <w:color w:val="5B63B7" w:themeColor="text2" w:themeTint="99"/>
              <w:sz w:val="28"/>
              <w:szCs w:val="28"/>
            </w:rPr>
          </w:pPr>
          <w:hyperlink w:anchor="_Toc340506978" w:history="1">
            <w:r w:rsidR="00BE32C4" w:rsidRPr="000E310E">
              <w:rPr>
                <w:rStyle w:val="Hyperlink"/>
                <w:noProof/>
                <w:color w:val="5B63B7" w:themeColor="text2" w:themeTint="99"/>
                <w:sz w:val="28"/>
                <w:szCs w:val="28"/>
              </w:rPr>
              <w:t>State</w:t>
            </w:r>
          </w:hyperlink>
          <w:r w:rsidR="00BE32C4" w:rsidRPr="000E310E">
            <w:rPr>
              <w:rStyle w:val="Hyperlink"/>
              <w:noProof/>
              <w:color w:val="5B63B7" w:themeColor="text2" w:themeTint="99"/>
              <w:sz w:val="28"/>
              <w:szCs w:val="28"/>
              <w:u w:val="none"/>
            </w:rPr>
            <w:t xml:space="preserve"> Plan for Independent Living (SPIL) Development and Implementation</w:t>
          </w:r>
        </w:p>
        <w:p w14:paraId="45F9FEEF" w14:textId="77777777" w:rsidR="007310D5" w:rsidRDefault="00744123" w:rsidP="007310D5">
          <w:pPr>
            <w:pStyle w:val="TOC2"/>
            <w:rPr>
              <w:rFonts w:ascii="Arial" w:hAnsi="Arial" w:cs="Arial"/>
              <w:sz w:val="28"/>
              <w:szCs w:val="28"/>
            </w:rPr>
          </w:pPr>
          <w:hyperlink w:anchor="_Toc340506979" w:history="1">
            <w:r w:rsidR="00BE32C4" w:rsidRPr="000E310E">
              <w:rPr>
                <w:rStyle w:val="Hyperlink"/>
                <w:noProof/>
                <w:color w:val="5B63B7" w:themeColor="text2" w:themeTint="99"/>
                <w:sz w:val="28"/>
                <w:szCs w:val="28"/>
              </w:rPr>
              <w:t>Eligibility</w:t>
            </w:r>
          </w:hyperlink>
          <w:r w:rsidR="00BE32C4" w:rsidRPr="000E310E">
            <w:rPr>
              <w:rStyle w:val="Hyperlink"/>
              <w:noProof/>
              <w:color w:val="5B63B7" w:themeColor="text2" w:themeTint="99"/>
              <w:sz w:val="28"/>
              <w:szCs w:val="28"/>
              <w:u w:val="none"/>
            </w:rPr>
            <w:t xml:space="preserve"> of the Centers for Independent Living (CIL) for SPIL Inclusivity</w:t>
          </w:r>
          <w:r w:rsidR="007310D5" w:rsidRPr="007310D5">
            <w:rPr>
              <w:rFonts w:ascii="Arial" w:hAnsi="Arial" w:cs="Arial"/>
              <w:sz w:val="28"/>
              <w:szCs w:val="28"/>
            </w:rPr>
            <w:t xml:space="preserve"> </w:t>
          </w:r>
        </w:p>
        <w:p w14:paraId="2F48E870" w14:textId="0CAF0321" w:rsidR="000233C2" w:rsidRPr="000E310E" w:rsidRDefault="007310D5">
          <w:pPr>
            <w:pStyle w:val="TOC2"/>
            <w:rPr>
              <w:noProof/>
              <w:color w:val="5B63B7" w:themeColor="text2" w:themeTint="99"/>
              <w:sz w:val="28"/>
              <w:szCs w:val="28"/>
            </w:rPr>
          </w:pPr>
          <w:r w:rsidRPr="007310D5">
            <w:rPr>
              <w:noProof/>
              <w:color w:val="5B63B7" w:themeColor="text2" w:themeTint="99"/>
              <w:sz w:val="28"/>
              <w:szCs w:val="28"/>
            </w:rPr>
            <w:t>Annual SILC Program Progress Report (PPR) Polic</w:t>
          </w:r>
          <w:r w:rsidRPr="007310D5">
            <w:rPr>
              <w:b/>
              <w:bCs/>
              <w:noProof/>
              <w:color w:val="5B63B7" w:themeColor="text2" w:themeTint="99"/>
              <w:sz w:val="28"/>
              <w:szCs w:val="28"/>
              <w:u w:val="single"/>
            </w:rPr>
            <w:t>y</w:t>
          </w:r>
        </w:p>
        <w:p w14:paraId="1B09DA1F" w14:textId="3D3D95FE" w:rsidR="000233C2" w:rsidRPr="000E310E" w:rsidRDefault="00744123">
          <w:pPr>
            <w:pStyle w:val="TOC2"/>
            <w:rPr>
              <w:noProof/>
              <w:color w:val="5B63B7" w:themeColor="text2" w:themeTint="99"/>
              <w:sz w:val="28"/>
              <w:szCs w:val="28"/>
            </w:rPr>
          </w:pPr>
          <w:hyperlink w:anchor="_Toc340506980" w:history="1">
            <w:r w:rsidR="00BE32C4" w:rsidRPr="000E310E">
              <w:rPr>
                <w:rStyle w:val="Hyperlink"/>
                <w:noProof/>
                <w:color w:val="5B63B7" w:themeColor="text2" w:themeTint="99"/>
                <w:sz w:val="28"/>
                <w:szCs w:val="28"/>
              </w:rPr>
              <w:t>Code</w:t>
            </w:r>
          </w:hyperlink>
          <w:r w:rsidR="00BE32C4" w:rsidRPr="000E310E">
            <w:rPr>
              <w:rStyle w:val="Hyperlink"/>
              <w:noProof/>
              <w:color w:val="5B63B7" w:themeColor="text2" w:themeTint="99"/>
              <w:sz w:val="28"/>
              <w:szCs w:val="28"/>
              <w:u w:val="none"/>
            </w:rPr>
            <w:t xml:space="preserve"> of Ethics and Me</w:t>
          </w:r>
          <w:r w:rsidR="00C92C79" w:rsidRPr="000E310E">
            <w:rPr>
              <w:rStyle w:val="Hyperlink"/>
              <w:noProof/>
              <w:color w:val="5B63B7" w:themeColor="text2" w:themeTint="99"/>
              <w:sz w:val="28"/>
              <w:szCs w:val="28"/>
              <w:u w:val="none"/>
            </w:rPr>
            <w:t>mber</w:t>
          </w:r>
          <w:r w:rsidR="00BE32C4" w:rsidRPr="000E310E">
            <w:rPr>
              <w:rStyle w:val="Hyperlink"/>
              <w:noProof/>
              <w:color w:val="5B63B7" w:themeColor="text2" w:themeTint="99"/>
              <w:sz w:val="28"/>
              <w:szCs w:val="28"/>
              <w:u w:val="none"/>
            </w:rPr>
            <w:t xml:space="preserve"> Etiquette</w:t>
          </w:r>
        </w:p>
        <w:p w14:paraId="64018B09" w14:textId="106ED847" w:rsidR="000233C2" w:rsidRPr="000E310E" w:rsidRDefault="006A7121">
          <w:pPr>
            <w:pStyle w:val="TOC2"/>
            <w:rPr>
              <w:noProof/>
              <w:color w:val="5B63B7" w:themeColor="text2" w:themeTint="99"/>
              <w:sz w:val="28"/>
              <w:szCs w:val="28"/>
            </w:rPr>
          </w:pPr>
          <w:r w:rsidRPr="000E310E">
            <w:rPr>
              <w:rStyle w:val="Hyperlink"/>
              <w:noProof/>
              <w:color w:val="5B63B7" w:themeColor="text2" w:themeTint="99"/>
              <w:sz w:val="28"/>
              <w:szCs w:val="28"/>
              <w:u w:val="none"/>
            </w:rPr>
            <w:t xml:space="preserve">Hiring and </w:t>
          </w:r>
          <w:hyperlink w:anchor="_Toc340506981" w:history="1">
            <w:r w:rsidRPr="000E310E">
              <w:rPr>
                <w:rStyle w:val="Hyperlink"/>
                <w:noProof/>
                <w:color w:val="5B63B7" w:themeColor="text2" w:themeTint="99"/>
                <w:sz w:val="28"/>
                <w:szCs w:val="28"/>
              </w:rPr>
              <w:t>Evaluation</w:t>
            </w:r>
          </w:hyperlink>
          <w:r w:rsidRPr="000E310E">
            <w:rPr>
              <w:rStyle w:val="Hyperlink"/>
              <w:noProof/>
              <w:color w:val="5B63B7" w:themeColor="text2" w:themeTint="99"/>
              <w:sz w:val="28"/>
              <w:szCs w:val="28"/>
              <w:u w:val="none"/>
            </w:rPr>
            <w:t xml:space="preserve"> </w:t>
          </w:r>
          <w:r w:rsidR="00E44342" w:rsidRPr="000E310E">
            <w:rPr>
              <w:rStyle w:val="Hyperlink"/>
              <w:noProof/>
              <w:color w:val="5B63B7" w:themeColor="text2" w:themeTint="99"/>
              <w:sz w:val="28"/>
              <w:szCs w:val="28"/>
              <w:u w:val="none"/>
            </w:rPr>
            <w:t xml:space="preserve">of </w:t>
          </w:r>
          <w:r w:rsidR="00C92C79" w:rsidRPr="000E310E">
            <w:rPr>
              <w:rStyle w:val="Hyperlink"/>
              <w:noProof/>
              <w:color w:val="5B63B7" w:themeColor="text2" w:themeTint="99"/>
              <w:sz w:val="28"/>
              <w:szCs w:val="28"/>
              <w:u w:val="none"/>
            </w:rPr>
            <w:t xml:space="preserve">Executive Director and </w:t>
          </w:r>
          <w:r w:rsidR="00E44342" w:rsidRPr="000E310E">
            <w:rPr>
              <w:rStyle w:val="Hyperlink"/>
              <w:noProof/>
              <w:color w:val="5B63B7" w:themeColor="text2" w:themeTint="99"/>
              <w:sz w:val="28"/>
              <w:szCs w:val="28"/>
              <w:u w:val="none"/>
            </w:rPr>
            <w:t>Staff</w:t>
          </w:r>
        </w:p>
        <w:p w14:paraId="2A3FC5D1" w14:textId="63B3B07A" w:rsidR="000233C2" w:rsidRDefault="005C4ADA" w:rsidP="003B430E">
          <w:pPr>
            <w:pStyle w:val="TOC2"/>
            <w:rPr>
              <w:noProof/>
              <w:color w:val="5B63B7" w:themeColor="text2" w:themeTint="99"/>
              <w:sz w:val="28"/>
              <w:szCs w:val="28"/>
            </w:rPr>
          </w:pPr>
          <w:r w:rsidRPr="000E310E">
            <w:rPr>
              <w:noProof/>
              <w:color w:val="5B63B7" w:themeColor="text2" w:themeTint="99"/>
              <w:sz w:val="28"/>
              <w:szCs w:val="28"/>
            </w:rPr>
            <w:t>Social Media Policy</w:t>
          </w:r>
        </w:p>
        <w:p w14:paraId="7F8633CC" w14:textId="2FFBE2E5" w:rsidR="000E310E" w:rsidRPr="002E29E2" w:rsidRDefault="000E310E" w:rsidP="000E310E">
          <w:pPr>
            <w:rPr>
              <w:color w:val="5B63B7" w:themeColor="text2" w:themeTint="99"/>
              <w:sz w:val="28"/>
              <w:szCs w:val="28"/>
            </w:rPr>
          </w:pPr>
          <w:r w:rsidRPr="002E29E2">
            <w:rPr>
              <w:color w:val="5B63B7" w:themeColor="text2" w:themeTint="99"/>
              <w:sz w:val="28"/>
              <w:szCs w:val="28"/>
            </w:rPr>
            <w:tab/>
          </w:r>
          <w:r w:rsidR="002E29E2" w:rsidRPr="002E29E2">
            <w:rPr>
              <w:color w:val="5B63B7" w:themeColor="text2" w:themeTint="99"/>
              <w:sz w:val="28"/>
              <w:szCs w:val="28"/>
            </w:rPr>
            <w:t>Special Reimbursements</w:t>
          </w: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2652B7BF" w:rsidR="000233C2" w:rsidRPr="000D5E34" w:rsidRDefault="000233C2" w:rsidP="000D5E34">
      <w:pPr>
        <w:tabs>
          <w:tab w:val="left" w:pos="3706"/>
        </w:tabs>
        <w:sectPr w:rsidR="000233C2" w:rsidRPr="000D5E34" w:rsidSect="00AD1F1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576" w:gutter="0"/>
          <w:pgNumType w:start="0"/>
          <w:cols w:space="720"/>
          <w:titlePg/>
          <w:docGrid w:linePitch="360"/>
        </w:sectPr>
      </w:pPr>
    </w:p>
    <w:p w14:paraId="7CCAC821" w14:textId="53B534D4" w:rsidR="000233C2" w:rsidRDefault="006B5FB8">
      <w:pPr>
        <w:pStyle w:val="Heading1"/>
      </w:pPr>
      <w:bookmarkStart w:id="0" w:name="_Toc340506951"/>
      <w:r>
        <w:lastRenderedPageBreak/>
        <w:t>Policies and Procedures Summary</w:t>
      </w:r>
      <w:bookmarkEnd w:id="0"/>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a majority of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
    </w:p>
    <w:p w14:paraId="2712ABD9" w14:textId="69108A09" w:rsidR="00F90ACE" w:rsidRPr="00F90ACE" w:rsidRDefault="0039388C" w:rsidP="00F90ACE">
      <w:pPr>
        <w:pStyle w:val="Heading2"/>
        <w:rPr>
          <w:rFonts w:ascii="Arial" w:hAnsi="Arial" w:cs="Arial"/>
          <w:b w:val="0"/>
          <w:bCs w:val="0"/>
          <w:i/>
          <w:sz w:val="28"/>
          <w:szCs w:val="28"/>
        </w:rPr>
      </w:pPr>
      <w:bookmarkStart w:id="2"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Increase the CILs’ operating budget through Part B subawards by at least 4% during the October 1, 2022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SILC will increase number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in order to maximize the leadership, empowerment, independence, and productivity of individuals with disabilities, and the integration and full inclusion of individuals with disabilities into the mainstream of society;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basis;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Act;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ACCBF9"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ACCBF9" w:themeFill="background2"/>
          </w:tcPr>
          <w:p w14:paraId="6FAC1412" w14:textId="77777777" w:rsidR="00BB53AA" w:rsidRDefault="00BB53AA" w:rsidP="00965A75">
            <w:pPr>
              <w:pStyle w:val="Icon"/>
            </w:pPr>
            <w:bookmarkStart w:id="3" w:name="_Toc340506957"/>
          </w:p>
        </w:tc>
        <w:tc>
          <w:tcPr>
            <w:tcW w:w="4655" w:type="pct"/>
            <w:shd w:val="clear" w:color="auto" w:fill="ACCBF9" w:themeFill="background2"/>
          </w:tcPr>
          <w:p w14:paraId="378AE0DD" w14:textId="77777777" w:rsidR="00BB53AA" w:rsidRDefault="00BB53AA" w:rsidP="00BB53AA">
            <w:pPr>
              <w:pStyle w:val="Heading1"/>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0FD40FF9"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5217B4">
        <w:rPr>
          <w:rFonts w:ascii="Arial" w:hAnsi="Arial" w:cs="Arial"/>
          <w:sz w:val="28"/>
          <w:szCs w:val="28"/>
        </w:rPr>
        <w:t>individual training plan</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14D1ACDF"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w:t>
      </w:r>
      <w:r w:rsidR="005217B4">
        <w:rPr>
          <w:rFonts w:ascii="Arial" w:hAnsi="Arial" w:cs="Arial"/>
          <w:sz w:val="28"/>
          <w:szCs w:val="28"/>
        </w:rPr>
        <w:t xml:space="preserve"> or Executive Director</w:t>
      </w:r>
      <w:r w:rsidRPr="00AD1F1D">
        <w:rPr>
          <w:rFonts w:ascii="Arial" w:hAnsi="Arial" w:cs="Arial"/>
          <w:sz w:val="28"/>
          <w:szCs w:val="28"/>
        </w:rPr>
        <w:t xml:space="preserve">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from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6647738C" w:rsidR="000233C2" w:rsidRPr="00AD1F1D" w:rsidRDefault="00AD1F1D" w:rsidP="00AD1F1D">
      <w:pPr>
        <w:rPr>
          <w:rFonts w:ascii="Arial" w:hAnsi="Arial" w:cs="Arial"/>
          <w:sz w:val="28"/>
          <w:szCs w:val="28"/>
        </w:rPr>
      </w:pPr>
      <w:r w:rsidRPr="00AD1F1D">
        <w:rPr>
          <w:rFonts w:ascii="Arial" w:hAnsi="Arial" w:cs="Arial"/>
          <w:sz w:val="28"/>
          <w:szCs w:val="28"/>
        </w:rPr>
        <w:t xml:space="preserve">The </w:t>
      </w:r>
      <w:r w:rsidR="005217B4">
        <w:rPr>
          <w:rFonts w:ascii="Arial" w:hAnsi="Arial" w:cs="Arial"/>
          <w:sz w:val="28"/>
          <w:szCs w:val="28"/>
        </w:rPr>
        <w:t>Executive Team</w:t>
      </w:r>
      <w:r w:rsidRPr="00AD1F1D">
        <w:rPr>
          <w:rFonts w:ascii="Arial" w:hAnsi="Arial" w:cs="Arial"/>
          <w:sz w:val="28"/>
          <w:szCs w:val="28"/>
        </w:rPr>
        <w:t xml:space="preserve"> shall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428BA77E" w:rsidR="00FD4A73" w:rsidRDefault="00FD4A73" w:rsidP="00801A7F">
      <w:pPr>
        <w:rPr>
          <w:rFonts w:ascii="Arial" w:hAnsi="Arial" w:cs="Arial"/>
          <w:sz w:val="28"/>
          <w:szCs w:val="28"/>
        </w:rPr>
      </w:pPr>
      <w:r>
        <w:rPr>
          <w:rFonts w:ascii="Arial" w:hAnsi="Arial" w:cs="Arial"/>
          <w:sz w:val="28"/>
          <w:szCs w:val="28"/>
        </w:rPr>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Executive Director and/or DSE </w:t>
      </w:r>
      <w:r w:rsidR="005217B4">
        <w:rPr>
          <w:rFonts w:ascii="Arial" w:hAnsi="Arial" w:cs="Arial"/>
          <w:sz w:val="28"/>
          <w:szCs w:val="28"/>
        </w:rPr>
        <w:t>staff</w:t>
      </w:r>
      <w:r>
        <w:rPr>
          <w:rFonts w:ascii="Arial" w:hAnsi="Arial" w:cs="Arial"/>
          <w:sz w:val="28"/>
          <w:szCs w:val="28"/>
        </w:rPr>
        <w:t>. This Executive Team will have the authority to act on behalf of the SILC in administrative matters. 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86D2426"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47EA9A1A" w14:textId="0E26AA52" w:rsidR="00C92C79" w:rsidRDefault="00C92C79" w:rsidP="00801A7F">
      <w:pPr>
        <w:rPr>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t>Resignation of Council Members:</w:t>
      </w:r>
    </w:p>
    <w:p w14:paraId="152F22E8" w14:textId="31B416B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w:t>
      </w:r>
      <w:r w:rsidR="005217B4">
        <w:rPr>
          <w:rFonts w:ascii="Arial" w:hAnsi="Arial" w:cs="Arial"/>
          <w:sz w:val="28"/>
          <w:szCs w:val="28"/>
        </w:rPr>
        <w:t>staff</w:t>
      </w:r>
      <w:r>
        <w:rPr>
          <w:rFonts w:ascii="Arial" w:hAnsi="Arial" w:cs="Arial"/>
          <w:sz w:val="28"/>
          <w:szCs w:val="28"/>
        </w:rPr>
        <w:t xml:space="preser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493F3120" w:rsidR="00801A7F" w:rsidRPr="00801A7F" w:rsidRDefault="00801A7F" w:rsidP="00801A7F">
      <w:pPr>
        <w:rPr>
          <w:rFonts w:ascii="Arial" w:hAnsi="Arial" w:cs="Arial"/>
          <w:sz w:val="28"/>
          <w:szCs w:val="28"/>
        </w:rPr>
      </w:pPr>
      <w:r w:rsidRPr="00801A7F">
        <w:rPr>
          <w:rFonts w:ascii="Arial" w:hAnsi="Arial" w:cs="Arial"/>
          <w:sz w:val="28"/>
          <w:szCs w:val="28"/>
        </w:rPr>
        <w:t xml:space="preserve">The SILC shall meet at least quarterly according to Federal guidelines </w:t>
      </w:r>
      <w:hyperlink r:id="rId17" w:history="1">
        <w:r w:rsidRPr="006A5331">
          <w:rPr>
            <w:rStyle w:val="Hyperlink"/>
            <w:rFonts w:ascii="Arial" w:hAnsi="Arial" w:cs="Arial"/>
            <w:sz w:val="28"/>
            <w:szCs w:val="28"/>
          </w:rPr>
          <w:t>(45 CFR 1329.15(a)(3)).</w:t>
        </w:r>
      </w:hyperlink>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Goni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t>Eligibility of Centers for Independent Living (CIL) for SPIL Inclusivity</w:t>
      </w:r>
    </w:p>
    <w:p w14:paraId="6C54DF00" w14:textId="00391441" w:rsidR="000233C2" w:rsidRDefault="00801A7F">
      <w:pPr>
        <w:rPr>
          <w:rFonts w:ascii="Arial" w:hAnsi="Arial" w:cs="Arial"/>
          <w:sz w:val="28"/>
          <w:szCs w:val="28"/>
        </w:rPr>
      </w:pPr>
      <w:r w:rsidRPr="00801A7F">
        <w:rPr>
          <w:rFonts w:ascii="Arial" w:hAnsi="Arial" w:cs="Arial"/>
          <w:sz w:val="28"/>
          <w:szCs w:val="28"/>
        </w:rPr>
        <w:t xml:space="preserve">According to </w:t>
      </w:r>
      <w:hyperlink r:id="rId18" w:history="1">
        <w:r w:rsidRPr="006A5331">
          <w:rPr>
            <w:rStyle w:val="Hyperlink"/>
            <w:rFonts w:ascii="Arial" w:hAnsi="Arial" w:cs="Arial"/>
            <w:sz w:val="28"/>
            <w:szCs w:val="28"/>
          </w:rPr>
          <w:t>45 CFR 1329.17(d)(2)(iii),</w:t>
        </w:r>
      </w:hyperlink>
      <w:r w:rsidRPr="00801A7F">
        <w:rPr>
          <w:rFonts w:ascii="Arial" w:hAnsi="Arial" w:cs="Arial"/>
          <w:sz w:val="28"/>
          <w:szCs w:val="28"/>
        </w:rPr>
        <w:t xml:space="preserve"> not less than 51% of CIL’s will participate in the development and approval of the SPIL. All participating CIL’s must be willing to share proof of their</w:t>
      </w:r>
      <w:r w:rsidR="00871EF0">
        <w:rPr>
          <w:rFonts w:ascii="Arial" w:hAnsi="Arial" w:cs="Arial"/>
          <w:sz w:val="28"/>
          <w:szCs w:val="28"/>
        </w:rPr>
        <w:t xml:space="preserve"> compliance with the standards and assurances of</w:t>
      </w:r>
      <w:r w:rsidRPr="00801A7F">
        <w:rPr>
          <w:rFonts w:ascii="Arial" w:hAnsi="Arial" w:cs="Arial"/>
          <w:sz w:val="28"/>
          <w:szCs w:val="28"/>
        </w:rPr>
        <w:t xml:space="preserve"> </w:t>
      </w:r>
      <w:r w:rsidR="00871EF0">
        <w:rPr>
          <w:rFonts w:ascii="Arial" w:hAnsi="Arial" w:cs="Arial"/>
          <w:sz w:val="28"/>
          <w:szCs w:val="28"/>
        </w:rPr>
        <w:t>section 725 of the Act</w:t>
      </w:r>
      <w:r w:rsidRPr="00801A7F">
        <w:rPr>
          <w:rFonts w:ascii="Arial" w:hAnsi="Arial" w:cs="Arial"/>
          <w:sz w:val="28"/>
          <w:szCs w:val="28"/>
        </w:rPr>
        <w:t>, upon request by the SILC.</w:t>
      </w:r>
    </w:p>
    <w:p w14:paraId="2DEE2654" w14:textId="21AD417F" w:rsidR="007E021F" w:rsidRDefault="007E021F" w:rsidP="007310D5">
      <w:pPr>
        <w:spacing w:after="120" w:line="240" w:lineRule="auto"/>
        <w:rPr>
          <w:rFonts w:ascii="Arial" w:hAnsi="Arial" w:cs="Arial"/>
          <w:b/>
          <w:bCs/>
          <w:sz w:val="28"/>
          <w:szCs w:val="28"/>
          <w:u w:val="single"/>
        </w:rPr>
      </w:pPr>
      <w:bookmarkStart w:id="4" w:name="_Hlk125468852"/>
      <w:r>
        <w:rPr>
          <w:rFonts w:ascii="Arial" w:hAnsi="Arial" w:cs="Arial"/>
          <w:b/>
          <w:bCs/>
          <w:sz w:val="28"/>
          <w:szCs w:val="28"/>
          <w:u w:val="single"/>
        </w:rPr>
        <w:t>Annual SILC Program Progress Report (PPR) Policy</w:t>
      </w:r>
    </w:p>
    <w:bookmarkEnd w:id="4"/>
    <w:p w14:paraId="7A47E86D" w14:textId="7E22A8FF" w:rsidR="007E021F" w:rsidRPr="007E021F" w:rsidRDefault="007E021F" w:rsidP="007310D5">
      <w:pPr>
        <w:spacing w:after="0" w:line="360" w:lineRule="auto"/>
        <w:rPr>
          <w:rFonts w:ascii="Arial" w:hAnsi="Arial" w:cs="Arial"/>
          <w:sz w:val="28"/>
          <w:szCs w:val="28"/>
        </w:rPr>
      </w:pPr>
      <w:r>
        <w:rPr>
          <w:rFonts w:ascii="Arial" w:hAnsi="Arial" w:cs="Arial"/>
          <w:sz w:val="28"/>
          <w:szCs w:val="28"/>
        </w:rPr>
        <w:t>The SILC staff will draft the PPR according to ACL instructions and submit it with the approval and signature of the SILC Chair and the DSE Representative, as instructed by ACL by the due date. The SILC shall share the contents of the annual report at the quarterly SILC meeting following approval from ACL. The Chair and Vice Chair will review the PPR prior to submission.</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w:t>
      </w:r>
      <w:bookmarkStart w:id="5" w:name="_Hlk131504825"/>
      <w:r w:rsidRPr="00801A7F">
        <w:rPr>
          <w:rFonts w:ascii="Arial" w:hAnsi="Arial" w:cs="Arial"/>
          <w:sz w:val="28"/>
          <w:szCs w:val="28"/>
        </w:rPr>
        <w:t xml:space="preserve">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bookmarkEnd w:id="5"/>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support</w:t>
      </w:r>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11D5BE91"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6D50B479"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r w:rsidRPr="00801A7F">
        <w:rPr>
          <w:rFonts w:ascii="Arial" w:hAnsi="Arial" w:cs="Arial"/>
          <w:sz w:val="28"/>
          <w:szCs w:val="28"/>
        </w:rPr>
        <w:t xml:space="preserv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6CB65CE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w:t>
      </w:r>
      <w:r w:rsidR="005217B4">
        <w:rPr>
          <w:rFonts w:ascii="Arial" w:hAnsi="Arial" w:cs="Arial"/>
          <w:sz w:val="28"/>
          <w:szCs w:val="28"/>
        </w:rPr>
        <w:t>staff</w:t>
      </w:r>
      <w:r>
        <w:rPr>
          <w:rFonts w:ascii="Arial" w:hAnsi="Arial" w:cs="Arial"/>
          <w:sz w:val="28"/>
          <w:szCs w:val="28"/>
        </w:rPr>
        <w:t xml:space="preser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B662F52"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If any changes are made at any time, new signatures will be documented to establish agreement with all work performance standards/expectations.</w:t>
      </w:r>
    </w:p>
    <w:p w14:paraId="799E2076" w14:textId="5D210B5A" w:rsidR="00E44342" w:rsidRDefault="002162F8" w:rsidP="001E325B">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named</w:t>
      </w:r>
      <w:r>
        <w:rPr>
          <w:rFonts w:ascii="Arial" w:hAnsi="Arial" w:cs="Arial"/>
          <w:sz w:val="28"/>
          <w:szCs w:val="28"/>
        </w:rPr>
        <w:t xml:space="preserve"> as Executive Director</w:t>
      </w:r>
      <w:r w:rsidR="00E44342" w:rsidRPr="00E44342">
        <w:rPr>
          <w:rFonts w:ascii="Arial" w:hAnsi="Arial" w:cs="Arial"/>
          <w:sz w:val="28"/>
          <w:szCs w:val="28"/>
        </w:rPr>
        <w:t xml:space="preserve">. This may be made available to the current Chair and/or Chairperson of the NV SILC, and/or the DSE </w:t>
      </w:r>
      <w:r w:rsidR="005217B4">
        <w:rPr>
          <w:rFonts w:ascii="Arial" w:hAnsi="Arial" w:cs="Arial"/>
          <w:sz w:val="28"/>
          <w:szCs w:val="28"/>
        </w:rPr>
        <w:t>staff</w:t>
      </w:r>
      <w:r w:rsidR="00E44342" w:rsidRPr="00E44342">
        <w:rPr>
          <w:rFonts w:ascii="Arial" w:hAnsi="Arial" w:cs="Arial"/>
          <w:sz w:val="28"/>
          <w:szCs w:val="28"/>
        </w:rPr>
        <w:t xml:space="preser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57BD6711" w14:textId="1827DC2F" w:rsidR="005C4ADA" w:rsidRDefault="005C4ADA" w:rsidP="001E325B">
      <w:pPr>
        <w:rPr>
          <w:rFonts w:ascii="Arial" w:hAnsi="Arial" w:cs="Arial"/>
          <w:sz w:val="28"/>
          <w:szCs w:val="28"/>
        </w:rPr>
      </w:pPr>
    </w:p>
    <w:p w14:paraId="4C36A4DB" w14:textId="354A4CC5" w:rsidR="005C4ADA" w:rsidRDefault="005C4ADA" w:rsidP="001E325B">
      <w:pPr>
        <w:rPr>
          <w:rFonts w:ascii="Arial" w:hAnsi="Arial" w:cs="Arial"/>
          <w:b/>
          <w:bCs/>
          <w:sz w:val="28"/>
          <w:szCs w:val="28"/>
          <w:u w:val="single"/>
        </w:rPr>
      </w:pPr>
      <w:r>
        <w:rPr>
          <w:rFonts w:ascii="Arial" w:hAnsi="Arial" w:cs="Arial"/>
          <w:b/>
          <w:bCs/>
          <w:sz w:val="28"/>
          <w:szCs w:val="28"/>
          <w:u w:val="single"/>
        </w:rPr>
        <w:t>Social Media Policy</w:t>
      </w:r>
    </w:p>
    <w:p w14:paraId="31C6625D" w14:textId="77777777" w:rsidR="005C4ADA" w:rsidRPr="005C4ADA" w:rsidRDefault="005C4ADA" w:rsidP="005C4ADA">
      <w:pPr>
        <w:rPr>
          <w:rFonts w:ascii="Arial" w:hAnsi="Arial" w:cs="Arial"/>
          <w:sz w:val="28"/>
          <w:szCs w:val="28"/>
        </w:rPr>
      </w:pPr>
      <w:r w:rsidRPr="005C4ADA">
        <w:rPr>
          <w:rFonts w:ascii="Arial" w:hAnsi="Arial" w:cs="Arial"/>
          <w:sz w:val="28"/>
          <w:szCs w:val="28"/>
        </w:rPr>
        <w:t>Content sources will be consumer, partner and IL Network contributions along with NV SILC website and newsletter content. There will also be content deriving from educational sources, IL Network announcements and Federal and State official communication. At no time will any unofficial opinions that do not reflect the IL Network’s values be shared on any social media account belonging to NV SILC. Only State approved vendors will be hired to assist with content when appropriate, as is consistent with fiscal policy under the DSE.</w:t>
      </w:r>
    </w:p>
    <w:p w14:paraId="7E6FE8BF" w14:textId="54CC6627" w:rsidR="005C4ADA" w:rsidRDefault="005C4ADA" w:rsidP="005C4ADA">
      <w:pPr>
        <w:rPr>
          <w:rFonts w:ascii="Arial" w:hAnsi="Arial" w:cs="Arial"/>
          <w:sz w:val="28"/>
          <w:szCs w:val="28"/>
        </w:rPr>
      </w:pPr>
      <w:r w:rsidRPr="005C4ADA">
        <w:rPr>
          <w:rFonts w:ascii="Arial" w:hAnsi="Arial" w:cs="Arial"/>
          <w:sz w:val="28"/>
          <w:szCs w:val="28"/>
        </w:rPr>
        <w:t xml:space="preserve">Contributors will be limited to a designated NV SILC representative, YAC representative, and the NV SILC Executive Director. </w:t>
      </w:r>
      <w:r>
        <w:rPr>
          <w:rFonts w:ascii="Arial" w:hAnsi="Arial" w:cs="Arial"/>
          <w:sz w:val="28"/>
          <w:szCs w:val="28"/>
        </w:rPr>
        <w:t xml:space="preserve">The contact information used on these platforms will be private and unaffiliated with the State in any way. </w:t>
      </w:r>
      <w:r w:rsidRPr="005C4ADA">
        <w:rPr>
          <w:rFonts w:ascii="Arial" w:hAnsi="Arial" w:cs="Arial"/>
          <w:sz w:val="28"/>
          <w:szCs w:val="28"/>
        </w:rPr>
        <w:t>The NV SILC Executive Director and Chair will screen and approve all content prior to being posted. The same contributors will also edit content when an outside vendor is not providing this service through a contract or agreement. NV SILC reserves the right to appoint another Council member or a maximum of two additional members to provide content in the future with the approval of the NV SILC Chair. At no time will subscribers be allowed to post public responses to any NV SILC or YAC social media posts. This feature will be disabled at all times to avoid any potential conflicts or Open Meeting Law violations. Personal messages will be accepted privately in order to answer subscriber questions when appropriate. Contact instructions will be provided in the account information area along with a link to the NV SILC website: https://www.nvsilc.com/. An option to make donations to NV SILC may be made available on all NV SILC social media accounts, as well as the ability for subscribers and visitors to share any of our posts on their personal social media accounts or other public forums.</w:t>
      </w:r>
    </w:p>
    <w:p w14:paraId="4077C3D4" w14:textId="7A4ACF60" w:rsidR="002E29E2" w:rsidRDefault="002E29E2" w:rsidP="005C4ADA">
      <w:pPr>
        <w:rPr>
          <w:rFonts w:ascii="Arial" w:hAnsi="Arial" w:cs="Arial"/>
          <w:b/>
          <w:bCs/>
          <w:sz w:val="28"/>
          <w:szCs w:val="28"/>
          <w:u w:val="single"/>
        </w:rPr>
      </w:pPr>
      <w:r w:rsidRPr="002E29E2">
        <w:rPr>
          <w:rFonts w:ascii="Arial" w:hAnsi="Arial" w:cs="Arial"/>
          <w:b/>
          <w:bCs/>
          <w:sz w:val="28"/>
          <w:szCs w:val="28"/>
          <w:u w:val="single"/>
        </w:rPr>
        <w:t>Special Reimbursements</w:t>
      </w:r>
    </w:p>
    <w:p w14:paraId="23028765" w14:textId="5465E5B3" w:rsidR="002E29E2" w:rsidRDefault="002E29E2" w:rsidP="005C4ADA">
      <w:pPr>
        <w:rPr>
          <w:rFonts w:ascii="Arial" w:hAnsi="Arial" w:cs="Arial"/>
          <w:sz w:val="28"/>
          <w:szCs w:val="28"/>
        </w:rPr>
      </w:pPr>
      <w:r>
        <w:rPr>
          <w:rFonts w:ascii="Arial" w:hAnsi="Arial" w:cs="Arial"/>
          <w:sz w:val="28"/>
          <w:szCs w:val="28"/>
        </w:rPr>
        <w:t xml:space="preserve">NV SILC will reimburse members, partners and associates for all allowable official expenses incurred </w:t>
      </w:r>
      <w:r w:rsidR="006B601E">
        <w:rPr>
          <w:rFonts w:ascii="Arial" w:hAnsi="Arial" w:cs="Arial"/>
          <w:sz w:val="28"/>
          <w:szCs w:val="28"/>
        </w:rPr>
        <w:t xml:space="preserve">while </w:t>
      </w:r>
      <w:r>
        <w:rPr>
          <w:rFonts w:ascii="Arial" w:hAnsi="Arial" w:cs="Arial"/>
          <w:sz w:val="28"/>
          <w:szCs w:val="28"/>
        </w:rPr>
        <w:t>doing SILC business</w:t>
      </w:r>
      <w:r w:rsidR="008960FE">
        <w:rPr>
          <w:rFonts w:ascii="Arial" w:hAnsi="Arial" w:cs="Arial"/>
          <w:sz w:val="28"/>
          <w:szCs w:val="28"/>
        </w:rPr>
        <w:t xml:space="preserve"> (meeting expenses are defined in our bylaws)</w:t>
      </w:r>
      <w:r>
        <w:rPr>
          <w:rFonts w:ascii="Arial" w:hAnsi="Arial" w:cs="Arial"/>
          <w:sz w:val="28"/>
          <w:szCs w:val="28"/>
        </w:rPr>
        <w:t xml:space="preserve">, as approved by the Executive Team or </w:t>
      </w:r>
      <w:r w:rsidR="008960FE">
        <w:rPr>
          <w:rFonts w:ascii="Arial" w:hAnsi="Arial" w:cs="Arial"/>
          <w:sz w:val="28"/>
          <w:szCs w:val="28"/>
        </w:rPr>
        <w:t xml:space="preserve">member/staff </w:t>
      </w:r>
      <w:r>
        <w:rPr>
          <w:rFonts w:ascii="Arial" w:hAnsi="Arial" w:cs="Arial"/>
          <w:sz w:val="28"/>
          <w:szCs w:val="28"/>
        </w:rPr>
        <w:t>supervisor. These funds are limited and will be allotted at a first-come-first-served basis. The individual requesting any special reimbursements will complete the Council’s official reimbursement request form</w:t>
      </w:r>
      <w:r w:rsidR="008960FE">
        <w:rPr>
          <w:rFonts w:ascii="Arial" w:hAnsi="Arial" w:cs="Arial"/>
          <w:sz w:val="28"/>
          <w:szCs w:val="28"/>
        </w:rPr>
        <w:t xml:space="preserve"> and submit it to their Council supervisor for approval or to one of the Executive Team members for an alternate signature if there is no designated supervisor or if the requestor is not a member. Any non-member reimbursements must be pre-approved, or the request will be denied.</w:t>
      </w:r>
    </w:p>
    <w:p w14:paraId="4ED95BF1" w14:textId="2FCC1953" w:rsidR="00AA4BFE" w:rsidRDefault="00AA4BFE" w:rsidP="005C4ADA">
      <w:pPr>
        <w:rPr>
          <w:rFonts w:ascii="Arial" w:hAnsi="Arial" w:cs="Arial"/>
          <w:sz w:val="28"/>
          <w:szCs w:val="28"/>
        </w:rPr>
      </w:pPr>
      <w:r>
        <w:rPr>
          <w:rFonts w:ascii="Arial" w:hAnsi="Arial" w:cs="Arial"/>
          <w:sz w:val="28"/>
          <w:szCs w:val="28"/>
        </w:rPr>
        <w:t xml:space="preserve">All reimbursement requests must be accompanied by supporting documentation (ex: receipts, mileage maps, etc.). These documents, along with the request form, will be held for three years for auditing purposes. If a reimbursement totals more than $500, documentation may be held longer. </w:t>
      </w:r>
      <w:r w:rsidR="006410F1" w:rsidRPr="006A5331">
        <w:rPr>
          <w:rFonts w:ascii="Arial" w:hAnsi="Arial" w:cs="Arial"/>
          <w:sz w:val="28"/>
          <w:szCs w:val="28"/>
        </w:rPr>
        <w:t xml:space="preserve">All reimbursement requests will be submitted </w:t>
      </w:r>
      <w:r w:rsidR="00B6520B" w:rsidRPr="006A5331">
        <w:rPr>
          <w:rFonts w:ascii="Arial" w:hAnsi="Arial" w:cs="Arial"/>
          <w:sz w:val="28"/>
          <w:szCs w:val="28"/>
        </w:rPr>
        <w:t>to and completed by an outside authority and are, therefore, subject to additional review for validity.</w:t>
      </w:r>
      <w:r w:rsidR="006B601E">
        <w:rPr>
          <w:rFonts w:ascii="Arial" w:hAnsi="Arial" w:cs="Arial"/>
          <w:sz w:val="28"/>
          <w:szCs w:val="28"/>
        </w:rPr>
        <w:t xml:space="preserve"> Reimbursements will not include any federally non-allowable reimbursements (food, clothing, advertising costs, etc.).</w:t>
      </w:r>
    </w:p>
    <w:p w14:paraId="37EF180B" w14:textId="67246D41" w:rsidR="00744123" w:rsidRPr="00744123" w:rsidRDefault="000F1096" w:rsidP="00744123">
      <w:pPr>
        <w:rPr>
          <w:rFonts w:ascii="Arial" w:hAnsi="Arial" w:cs="Arial"/>
          <w:sz w:val="28"/>
          <w:szCs w:val="28"/>
        </w:rPr>
      </w:pPr>
      <w:r>
        <w:rPr>
          <w:rFonts w:ascii="Arial" w:hAnsi="Arial" w:cs="Arial"/>
          <w:sz w:val="28"/>
          <w:szCs w:val="28"/>
        </w:rPr>
        <w:t>As a courtesy, Aging and Disability Services (ADSD) has agreed to provide SILC members with a 100% travel advance whenever the travel might cause financial hardship. Any individual who receives a travel advance agrees to pay back the portion ADSD calculates as the overage from the allowed travel amount after all expenses have been considered. At the time of that notice, the member will have no more than 90 days to repay the balance owed to ADSD. NV SILC will notify and send reminders to the member no less than every 30 days until 90 days has been reached. If the member does not repay ADSD by the 90</w:t>
      </w:r>
      <w:r w:rsidRPr="000F1096">
        <w:rPr>
          <w:rFonts w:ascii="Arial" w:hAnsi="Arial" w:cs="Arial"/>
          <w:sz w:val="28"/>
          <w:szCs w:val="28"/>
          <w:vertAlign w:val="superscript"/>
        </w:rPr>
        <w:t>th</w:t>
      </w:r>
      <w:r>
        <w:rPr>
          <w:rFonts w:ascii="Arial" w:hAnsi="Arial" w:cs="Arial"/>
          <w:sz w:val="28"/>
          <w:szCs w:val="28"/>
        </w:rPr>
        <w:t xml:space="preserve"> day of notice, that individual will no longer be allowed to receive advances for SILC travel.</w:t>
      </w:r>
      <w:r w:rsidR="00744123">
        <w:rPr>
          <w:rFonts w:ascii="Arial" w:hAnsi="Arial" w:cs="Arial"/>
          <w:sz w:val="28"/>
          <w:szCs w:val="28"/>
        </w:rPr>
        <w:t xml:space="preserve"> Furthermore, the individual may be given a formal warning for violating SILC’s Code of Ethics, specifically  “1. </w:t>
      </w:r>
      <w:r w:rsidR="00744123" w:rsidRPr="00744123">
        <w:rPr>
          <w:rFonts w:ascii="Arial" w:hAnsi="Arial" w:cs="Arial"/>
          <w:sz w:val="28"/>
          <w:szCs w:val="28"/>
        </w:rPr>
        <w:t>I will uphold and enforce all laws, rules and regulations that apply to recipients of federal funds and to the SILC.</w:t>
      </w:r>
      <w:r w:rsidR="00744123">
        <w:rPr>
          <w:rFonts w:ascii="Arial" w:hAnsi="Arial" w:cs="Arial"/>
          <w:sz w:val="28"/>
          <w:szCs w:val="28"/>
        </w:rPr>
        <w:t>”</w:t>
      </w:r>
    </w:p>
    <w:p w14:paraId="34D12A45" w14:textId="255EC855" w:rsidR="000F1096" w:rsidRPr="002E29E2" w:rsidRDefault="00744123" w:rsidP="00744123">
      <w:pPr>
        <w:rPr>
          <w:rFonts w:ascii="Arial" w:hAnsi="Arial" w:cs="Arial"/>
          <w:sz w:val="28"/>
          <w:szCs w:val="28"/>
        </w:rPr>
      </w:pPr>
      <w:r w:rsidRPr="00744123">
        <w:rPr>
          <w:rFonts w:ascii="Arial" w:hAnsi="Arial" w:cs="Arial"/>
          <w:sz w:val="28"/>
          <w:szCs w:val="28"/>
        </w:rPr>
        <w:t xml:space="preserve">     </w:t>
      </w:r>
    </w:p>
    <w:sectPr w:rsidR="000F1096" w:rsidRPr="002E29E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B310" w14:textId="77777777" w:rsidR="007E021F" w:rsidRDefault="007E0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B7B0" w14:textId="77777777" w:rsidR="007E021F" w:rsidRDefault="007E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8F1" w14:textId="77777777" w:rsidR="007E021F" w:rsidRDefault="007E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1751" w14:textId="77777777" w:rsidR="007E021F" w:rsidRDefault="007E0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505765"/>
      <w:docPartObj>
        <w:docPartGallery w:val="Watermarks"/>
        <w:docPartUnique/>
      </w:docPartObj>
    </w:sdtPr>
    <w:sdtEndPr/>
    <w:sdtContent>
      <w:p w14:paraId="0C2E6EC0" w14:textId="3E3E544D" w:rsidR="007E021F" w:rsidRDefault="00744123">
        <w:pPr>
          <w:pStyle w:val="Header"/>
        </w:pPr>
        <w:r>
          <w:rPr>
            <w:noProof/>
          </w:rPr>
          <w:pict w14:anchorId="5FD43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32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6335580">
    <w:abstractNumId w:val="3"/>
  </w:num>
  <w:num w:numId="2" w16cid:durableId="1185290637">
    <w:abstractNumId w:val="0"/>
  </w:num>
  <w:num w:numId="3" w16cid:durableId="1422333155">
    <w:abstractNumId w:val="2"/>
  </w:num>
  <w:num w:numId="4" w16cid:durableId="564336015">
    <w:abstractNumId w:val="1"/>
  </w:num>
  <w:num w:numId="5" w16cid:durableId="1681156240">
    <w:abstractNumId w:val="7"/>
  </w:num>
  <w:num w:numId="6" w16cid:durableId="1832520452">
    <w:abstractNumId w:val="4"/>
  </w:num>
  <w:num w:numId="7" w16cid:durableId="814688159">
    <w:abstractNumId w:val="6"/>
  </w:num>
  <w:num w:numId="8" w16cid:durableId="213544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53250"/>
    <o:shapelayout v:ext="edit">
      <o:idmap v:ext="edit" data="5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D5E34"/>
    <w:rsid w:val="000E310E"/>
    <w:rsid w:val="000F1096"/>
    <w:rsid w:val="00112859"/>
    <w:rsid w:val="0018307B"/>
    <w:rsid w:val="001E325B"/>
    <w:rsid w:val="002162F8"/>
    <w:rsid w:val="002B363C"/>
    <w:rsid w:val="002C7407"/>
    <w:rsid w:val="002E29E2"/>
    <w:rsid w:val="00334E98"/>
    <w:rsid w:val="00364538"/>
    <w:rsid w:val="0039388C"/>
    <w:rsid w:val="00397152"/>
    <w:rsid w:val="003A58F7"/>
    <w:rsid w:val="003B430E"/>
    <w:rsid w:val="003D0762"/>
    <w:rsid w:val="003E579E"/>
    <w:rsid w:val="003F444B"/>
    <w:rsid w:val="004C42B1"/>
    <w:rsid w:val="005217B4"/>
    <w:rsid w:val="00592206"/>
    <w:rsid w:val="005A46B8"/>
    <w:rsid w:val="005C4ADA"/>
    <w:rsid w:val="005E1F20"/>
    <w:rsid w:val="006410F1"/>
    <w:rsid w:val="00682336"/>
    <w:rsid w:val="006A5331"/>
    <w:rsid w:val="006A7121"/>
    <w:rsid w:val="006B5FB8"/>
    <w:rsid w:val="006B601E"/>
    <w:rsid w:val="006F26C6"/>
    <w:rsid w:val="006F581C"/>
    <w:rsid w:val="007310D5"/>
    <w:rsid w:val="00744123"/>
    <w:rsid w:val="00751A58"/>
    <w:rsid w:val="007B1C2E"/>
    <w:rsid w:val="007E021F"/>
    <w:rsid w:val="00801A7F"/>
    <w:rsid w:val="00801DE2"/>
    <w:rsid w:val="00871EF0"/>
    <w:rsid w:val="008960FE"/>
    <w:rsid w:val="008B48D0"/>
    <w:rsid w:val="008D1BCF"/>
    <w:rsid w:val="008E1CF6"/>
    <w:rsid w:val="00965A75"/>
    <w:rsid w:val="009B63C2"/>
    <w:rsid w:val="00A00CBE"/>
    <w:rsid w:val="00A86301"/>
    <w:rsid w:val="00AA0125"/>
    <w:rsid w:val="00AA4BFE"/>
    <w:rsid w:val="00AD1F1D"/>
    <w:rsid w:val="00B6520B"/>
    <w:rsid w:val="00BB53AA"/>
    <w:rsid w:val="00BE32C4"/>
    <w:rsid w:val="00C040CD"/>
    <w:rsid w:val="00C76F9E"/>
    <w:rsid w:val="00C92C79"/>
    <w:rsid w:val="00CB754D"/>
    <w:rsid w:val="00CD0FC0"/>
    <w:rsid w:val="00D41303"/>
    <w:rsid w:val="00D602A5"/>
    <w:rsid w:val="00DC49A8"/>
    <w:rsid w:val="00DD4688"/>
    <w:rsid w:val="00DF1707"/>
    <w:rsid w:val="00E24A41"/>
    <w:rsid w:val="00E44342"/>
    <w:rsid w:val="00E66327"/>
    <w:rsid w:val="00E963D2"/>
    <w:rsid w:val="00EA3B40"/>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42852"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D5"/>
  </w:style>
  <w:style w:type="paragraph" w:styleId="Heading1">
    <w:name w:val="heading 1"/>
    <w:basedOn w:val="Normal"/>
    <w:next w:val="Normal"/>
    <w:link w:val="Heading1Char"/>
    <w:uiPriority w:val="9"/>
    <w:qFormat/>
    <w:pPr>
      <w:keepNext/>
      <w:keepLines/>
      <w:pBdr>
        <w:bottom w:val="single" w:sz="8" w:space="0" w:color="D9DFEF" w:themeColor="accent1" w:themeTint="33"/>
      </w:pBdr>
      <w:spacing w:after="200"/>
      <w:outlineLvl w:val="0"/>
    </w:pPr>
    <w:rPr>
      <w:rFonts w:asciiTheme="majorHAnsi" w:eastAsiaTheme="majorEastAsia" w:hAnsiTheme="majorHAnsi" w:cstheme="majorBidi"/>
      <w:color w:val="4A66AC"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A66AC"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A66AC"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A66AC"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A66AC"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74C8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9454C3"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9DFEF"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74C8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rPr>
        <w:rFonts w:asciiTheme="majorHAnsi" w:hAnsiTheme="majorHAnsi"/>
        <w:color w:val="FFFFFF" w:themeColor="background1"/>
        <w:sz w:val="16"/>
      </w:rPr>
      <w:tblPr/>
      <w:tcPr>
        <w:shd w:val="clear" w:color="auto" w:fill="4A66AC" w:themeFill="accent1"/>
      </w:tcPr>
    </w:tblStylePr>
    <w:tblStylePr w:type="lastRow">
      <w:rPr>
        <w:rFonts w:asciiTheme="majorHAnsi" w:hAnsiTheme="majorHAnsi"/>
        <w:b/>
        <w:caps/>
        <w:smallCaps w:val="0"/>
        <w:color w:val="4A66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8CAE7"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cfr.gov/current/title-45/subtitle-B/chapter-XIII/subchapter-C/part-1329/subpart-B/section-1329.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cfr.gov/current/title-45/subtitle-B/chapter-XIII/subchapter-C/part-1329/subpart-B/section-1329.1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23</TotalTime>
  <Pages>14</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1/24/2023</dc:subject>
  <dc:creator>Dawn Lyons</dc:creator>
  <cp:keywords/>
  <dc:description/>
  <cp:lastModifiedBy>Dawn Lyons</cp:lastModifiedBy>
  <cp:revision>6</cp:revision>
  <cp:lastPrinted>2018-10-01T23:45:00Z</cp:lastPrinted>
  <dcterms:created xsi:type="dcterms:W3CDTF">2023-01-25T00:04:00Z</dcterms:created>
  <dcterms:modified xsi:type="dcterms:W3CDTF">2023-04-04T19:47:00Z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